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6940"/>
        <w:gridCol w:w="2269"/>
      </w:tblGrid>
      <w:tr w:rsidR="00E33F18" w:rsidRPr="00E33F18" w14:paraId="5C3AF3C6" w14:textId="77777777" w:rsidTr="003C42F8">
        <w:trPr>
          <w:trHeight w:val="2895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55D29" w14:textId="133BCC65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noProof/>
              </w:rPr>
              <w:drawing>
                <wp:inline distT="0" distB="0" distL="0" distR="0" wp14:anchorId="0B2BF98E" wp14:editId="6E2B6E85">
                  <wp:extent cx="3276600" cy="1838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39BAD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</w:rPr>
            </w:pP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Lai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mazinātu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preventīvi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novērstu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būtiska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sadarbība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starp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skolēniem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vecākiem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personālu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 2021./</w:t>
            </w:r>
            <w:proofErr w:type="gram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2022.m.g.</w:t>
            </w:r>
            <w:proofErr w:type="gram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sociālais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projekts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sadarbojas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54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izglītības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iestādēm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Latvijā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nodrošinot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bezmaksas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rīkus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mazināšanai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Aicinām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Jūs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,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sadarbības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vecākus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sarunu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par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vecāku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iesaisti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atpazīšanā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novēršanā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preventīvā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novēršanā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Sarunas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laikā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atbildēsim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šiem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citiem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jautājumiem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: "Kas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?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Kāda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situācija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Latvijas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skolās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? Kas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sociālais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projekts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Neklusē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kāda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sadarbība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skolām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?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vecākiem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rīkoties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situācijā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? Kur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vecāki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var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saņemt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atbalstu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? Ko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darīt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preventīvi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novērstu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?"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Tiekamies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27.septembrī</w:t>
            </w:r>
            <w:proofErr w:type="gram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18.00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Youtube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: </w:t>
            </w:r>
            <w:hyperlink r:id="rId5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https://youtu.be/9-Hf-UTn5</w:t>
              </w:r>
            </w:hyperlink>
            <w:r w:rsidRPr="00E33F18">
              <w:rPr>
                <w:rFonts w:ascii="Arial" w:eastAsia="Times New Roman" w:hAnsi="Arial" w:cs="Arial"/>
                <w:color w:val="1155CC"/>
                <w:sz w:val="20"/>
                <w:szCs w:val="20"/>
                <w:bdr w:val="none" w:sz="0" w:space="0" w:color="auto" w:frame="1"/>
              </w:rPr>
              <w:t>3s</w:t>
            </w:r>
            <w:r w:rsidRPr="00E33F18">
              <w:rPr>
                <w:rFonts w:ascii="Arial" w:eastAsia="Times New Roman" w:hAnsi="Arial" w:cs="Arial"/>
                <w:color w:val="1155CC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81503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Pieejams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tikai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 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Neklusē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 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sadarbības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skolām</w:t>
            </w:r>
            <w:proofErr w:type="spellEnd"/>
          </w:p>
        </w:tc>
      </w:tr>
      <w:tr w:rsidR="00E33F18" w:rsidRPr="00E33F18" w14:paraId="2BECEEC9" w14:textId="77777777" w:rsidTr="003C42F8">
        <w:trPr>
          <w:trHeight w:val="3600"/>
        </w:trPr>
        <w:tc>
          <w:tcPr>
            <w:tcW w:w="5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6CB0B" w14:textId="2C71F581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noProof/>
              </w:rPr>
              <w:drawing>
                <wp:inline distT="0" distB="0" distL="0" distR="0" wp14:anchorId="311180FF" wp14:editId="4DB178BE">
                  <wp:extent cx="3276600" cy="228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85637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Pievienojies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 “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klases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audzināšanas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stundai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” -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sarunai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starp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līdzautori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Mariku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Andžāni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blogeri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Niklāvu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Mičuli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pusaudžu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psihoterapeitu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Nilu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Konstantinovu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Sarunas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laikā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atbildēsim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šiem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citiem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jautājumiem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laba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pašsajūta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uzturēt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sevi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labā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formā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gan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fiziski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gan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emocionāli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?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kādēļ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man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jāciena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jāsarbojas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klasesbiedriem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?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joks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strīds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kāda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atšķirība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?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ko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skolēniem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darīt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mobinga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situācijās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?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kas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#Neklusē?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Pievienojies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sarunai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uzdod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savējo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! Lai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Tev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būtu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ērtāk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iesaistīties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sarunā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iesakām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to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skatīties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izmantojot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datoru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televizoru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arī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izmantot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mobilo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telefonu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datoru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atbildētu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sli.do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jautājumiem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Tiekamies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29.septembrī</w:t>
            </w:r>
            <w:proofErr w:type="gram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13.00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Youtube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: </w:t>
            </w:r>
            <w:hyperlink r:id="rId7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https://youtu.be/tH8XQz6epKY</w:t>
              </w:r>
            </w:hyperlink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04110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Publiski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pieejams</w:t>
            </w:r>
            <w:proofErr w:type="spellEnd"/>
          </w:p>
        </w:tc>
      </w:tr>
      <w:tr w:rsidR="00E33F18" w:rsidRPr="00E33F18" w14:paraId="21338B8A" w14:textId="77777777" w:rsidTr="003C42F8">
        <w:trPr>
          <w:trHeight w:val="2895"/>
        </w:trPr>
        <w:tc>
          <w:tcPr>
            <w:tcW w:w="5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1651E" w14:textId="19A20A8A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noProof/>
              </w:rPr>
              <w:drawing>
                <wp:inline distT="0" distB="0" distL="0" distR="0" wp14:anchorId="078E8A43" wp14:editId="79219D72">
                  <wp:extent cx="3276600" cy="1838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11068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Aicinām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Jūs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piedalīties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sadarbības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skolu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pārstāvju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sarunā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līdzdibinātāju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Mariku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Andžāni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mācību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metodoloģijas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izstrādātājām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Centrs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Dardedze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preventīvo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programmu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vadītāju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Vinetu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Āboliņu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Centrs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MARTA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Jaunatnes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programmu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koordinatori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Madaru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Kanastu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Tikšanās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mērķis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dalīties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pieredzē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pašlaik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sokas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#Neklusē 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risinājumu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ieviešanu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aptaujas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metodoloģija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klases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audzināšanas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stundām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mobilā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lietotne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),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uzdot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jautājumus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gūt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ieteikumus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turpmākajai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sadarbībai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Sarunas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saturu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pielāgosim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Jūsu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aktualitātei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tādēļ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lūgums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katram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no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Jums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aizpildīt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aptauju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līdz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5.oktobrim</w:t>
            </w:r>
            <w:proofErr w:type="gram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: </w:t>
            </w:r>
            <w:hyperlink r:id="rId9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https://forms.gle/ermRKZTx8qT3nDVu5</w:t>
              </w:r>
            </w:hyperlink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Tiekamies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19.oktobrī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. 10.00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Youtube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: </w:t>
            </w:r>
            <w:hyperlink r:id="rId10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https://youtu.be/rHp3Qttgm</w:t>
              </w:r>
            </w:hyperlink>
            <w:r w:rsidRPr="00E33F18">
              <w:rPr>
                <w:rFonts w:ascii="Arial" w:eastAsia="Times New Roman" w:hAnsi="Arial" w:cs="Arial"/>
                <w:color w:val="1155CC"/>
                <w:sz w:val="20"/>
                <w:szCs w:val="20"/>
                <w:bdr w:val="none" w:sz="0" w:space="0" w:color="auto" w:frame="1"/>
              </w:rPr>
              <w:t>Y4.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Ja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vēlaties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pievienoties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Zoom,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lūdzu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aizpildiet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anketu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fldChar w:fldCharType="begin"/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instrText xml:space="preserve"> HYPERLINK "https://forms.gle/keD5SMAL6e1pMtsn6" \t "_blank" </w:instrTex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E33F1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 w:frame="1"/>
              </w:rPr>
              <w:t>: 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fldChar w:fldCharType="end"/>
            </w:r>
            <w:hyperlink r:id="rId11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https://forms.gle/keD5SMAL6e1pMts</w:t>
              </w:r>
            </w:hyperlink>
            <w:r w:rsidRPr="00E33F18">
              <w:rPr>
                <w:rFonts w:ascii="Arial" w:eastAsia="Times New Roman" w:hAnsi="Arial" w:cs="Arial"/>
                <w:color w:val="1155CC"/>
                <w:sz w:val="20"/>
                <w:szCs w:val="20"/>
                <w:bdr w:val="none" w:sz="0" w:space="0" w:color="auto" w:frame="1"/>
              </w:rPr>
              <w:t>n6 </w:t>
            </w:r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vietu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skaits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ierobežots</w:t>
            </w:r>
            <w:proofErr w:type="spellEnd"/>
            <w:r w:rsidRPr="00E33F1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F3DD2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Pieejams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tikai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 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Neklusē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 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sadarbības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skolām</w:t>
            </w:r>
            <w:proofErr w:type="spellEnd"/>
          </w:p>
        </w:tc>
      </w:tr>
      <w:tr w:rsidR="00E33F18" w:rsidRPr="00E33F18" w14:paraId="30B6F9DB" w14:textId="77777777" w:rsidTr="003C42F8">
        <w:trPr>
          <w:trHeight w:val="2895"/>
        </w:trPr>
        <w:tc>
          <w:tcPr>
            <w:tcW w:w="5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CF67D" w14:textId="074C476F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noProof/>
              </w:rPr>
              <w:lastRenderedPageBreak/>
              <w:drawing>
                <wp:inline distT="0" distB="0" distL="0" distR="0" wp14:anchorId="025AD4BB" wp14:editId="61BF69D7">
                  <wp:extent cx="3276600" cy="1838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EC95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Lai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mazinātu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skolas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vidē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svarīga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sadarbība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starp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skolēniem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Taču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vai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loma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mainās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sākumskolā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pamatskolā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vidusskolā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?</w:t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  <w:t>#Neklusē 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līdzdibinātāja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Marika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Andžāne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20. un </w:t>
            </w:r>
            <w:proofErr w:type="gram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21.oktobrī</w:t>
            </w:r>
            <w:proofErr w:type="gram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. 19.00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sarunāsies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psihoterapeitu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Ernestu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Pūliņu-Cini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par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vecumposmu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atšķirībām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lomu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preventīvā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novēršanā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kā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arī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praktiskiem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ieteikumiem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ko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darīt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vecākam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ja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bērns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iesaistīts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un ko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darīt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skolotājam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ja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klasē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.</w:t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Pievienojieties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aiciniet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citus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sarunu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!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Aicinām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Jūs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iesniegt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savus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jautājumus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situāciju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aprakstus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ko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vēlaties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saņemt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ieteikumus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līdz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5.oktobrim</w:t>
            </w:r>
            <w:proofErr w:type="gram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: </w:t>
            </w:r>
            <w:hyperlink r:id="rId13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https://forms.gle/zuEd3Vv7KYbJHSpe6</w:t>
              </w:r>
            </w:hyperlink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Tiekamies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20.oktobrī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. 19.00 Facebook:</w:t>
            </w:r>
            <w:hyperlink r:id="rId14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hyperlink r:id="rId15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https://fb.me/e/XAsFFYE</w:t>
              </w:r>
            </w:hyperlink>
            <w:r w:rsidRPr="00E33F18">
              <w:rPr>
                <w:rFonts w:ascii="Arial" w:eastAsia="Times New Roman" w:hAnsi="Arial" w:cs="Arial"/>
                <w:color w:val="1155CC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8DB6E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Publiski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pieejams</w:t>
            </w:r>
            <w:proofErr w:type="spellEnd"/>
          </w:p>
        </w:tc>
      </w:tr>
      <w:tr w:rsidR="00E33F18" w:rsidRPr="00E33F18" w14:paraId="7A65BB7D" w14:textId="77777777" w:rsidTr="003C42F8">
        <w:trPr>
          <w:trHeight w:val="2895"/>
        </w:trPr>
        <w:tc>
          <w:tcPr>
            <w:tcW w:w="5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C19CD" w14:textId="05CFB59E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noProof/>
              </w:rPr>
              <w:drawing>
                <wp:inline distT="0" distB="0" distL="0" distR="0" wp14:anchorId="719FB9BC" wp14:editId="04066EA7">
                  <wp:extent cx="3276600" cy="1838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6C61B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Lai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mazinātu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skolas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vidē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svarīga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sadarbība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starp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skolēniem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Taču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vai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loma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mainās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sākumskolā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pamatskolā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vidusskolā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?</w:t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  <w:t>#Neklusē 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līdzdibinātāja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Marika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Andžāne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20. un </w:t>
            </w:r>
            <w:proofErr w:type="gram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21.oktobrī</w:t>
            </w:r>
            <w:proofErr w:type="gram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. 19.00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sarunāsies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psihoterapeitu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Ernestu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Pūliņu-Cini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par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vecumposmu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atšķirībām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lomu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mobinga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preventīvā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novēršanā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kā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arī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praktiskiem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ieteikumiem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ko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darīt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vecākam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ja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bērns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iesaistīts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mobingā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un ko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darīt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skolotājam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, ja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klasē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ir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mobings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.</w:t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Pievienojieties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aiciniet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citus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vecākus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un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skolotājus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sarunu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!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Aicinām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Jūs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iesniegt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savus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jautājumus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/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situāciju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aprakstus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,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uz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ko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vēlaties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saņemt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ieteikumus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līdz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gram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5.oktobrim</w:t>
            </w:r>
            <w:proofErr w:type="gram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: </w:t>
            </w:r>
            <w:hyperlink r:id="rId17" w:tgtFrame="_blank" w:history="1">
              <w:r w:rsidRPr="00E33F18">
                <w:rPr>
                  <w:rFonts w:ascii="inherit" w:eastAsia="Times New Roman" w:hAnsi="inherit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https://forms.gle/zuEd3Vv7KYbJHSpe6</w:t>
              </w:r>
            </w:hyperlink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Tiekamies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 xml:space="preserve"> 21.oktobrī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plkst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  <w:bdr w:val="none" w:sz="0" w:space="0" w:color="auto" w:frame="1"/>
              </w:rPr>
              <w:t>. 19.00 Facebook</w:t>
            </w:r>
            <w:hyperlink r:id="rId18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:</w:t>
              </w:r>
            </w:hyperlink>
            <w:hyperlink r:id="rId19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hyperlink r:id="rId20" w:tgtFrame="_blank" w:history="1">
              <w:r w:rsidRPr="00E33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https://fb.me/e/1JjXwAe</w:t>
              </w:r>
            </w:hyperlink>
            <w:r w:rsidRPr="00E33F18">
              <w:rPr>
                <w:rFonts w:ascii="Arial" w:eastAsia="Times New Roman" w:hAnsi="Arial" w:cs="Arial"/>
                <w:color w:val="1155CC"/>
                <w:sz w:val="20"/>
                <w:szCs w:val="20"/>
                <w:bdr w:val="none" w:sz="0" w:space="0" w:color="auto" w:frame="1"/>
              </w:rPr>
              <w:t>8B</w:t>
            </w: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AE4BA" w14:textId="77777777" w:rsidR="00E33F18" w:rsidRPr="00E33F18" w:rsidRDefault="00E33F18" w:rsidP="00E33F18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0"/>
                <w:szCs w:val="20"/>
              </w:rPr>
            </w:pP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Publiski</w:t>
            </w:r>
            <w:proofErr w:type="spellEnd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 xml:space="preserve"> </w:t>
            </w:r>
            <w:proofErr w:type="spellStart"/>
            <w:r w:rsidRPr="00E33F18">
              <w:rPr>
                <w:rFonts w:ascii="Arial" w:eastAsia="Times New Roman" w:hAnsi="Arial" w:cs="Arial"/>
                <w:color w:val="323130"/>
                <w:sz w:val="20"/>
                <w:szCs w:val="20"/>
              </w:rPr>
              <w:t>pieejams</w:t>
            </w:r>
            <w:proofErr w:type="spellEnd"/>
          </w:p>
        </w:tc>
      </w:tr>
    </w:tbl>
    <w:p w14:paraId="3E8E768F" w14:textId="77777777" w:rsidR="004920B2" w:rsidRDefault="004920B2"/>
    <w:sectPr w:rsidR="004920B2" w:rsidSect="00E33F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8"/>
    <w:rsid w:val="003C42F8"/>
    <w:rsid w:val="004920B2"/>
    <w:rsid w:val="00E33F18"/>
    <w:rsid w:val="00E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6D19"/>
  <w15:chartTrackingRefBased/>
  <w15:docId w15:val="{49BFF749-B007-4C93-8F8F-5F80EEB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zg4fcu2k5">
    <w:name w:val="markzg4fcu2k5"/>
    <w:basedOn w:val="DefaultParagraphFont"/>
    <w:rsid w:val="00E33F18"/>
  </w:style>
  <w:style w:type="character" w:styleId="Hyperlink">
    <w:name w:val="Hyperlink"/>
    <w:basedOn w:val="DefaultParagraphFont"/>
    <w:uiPriority w:val="99"/>
    <w:semiHidden/>
    <w:unhideWhenUsed/>
    <w:rsid w:val="00E3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gle/zuEd3Vv7KYbJHSpe6" TargetMode="External"/><Relationship Id="rId18" Type="http://schemas.openxmlformats.org/officeDocument/2006/relationships/hyperlink" Target="https://fb.me/e/1JjXwAe8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tH8XQz6epK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forms.gle/zuEd3Vv7KYbJHSpe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fb.me/e/1JjXwAe8B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s.gle/keD5SMAL6e1pMtsn6" TargetMode="External"/><Relationship Id="rId5" Type="http://schemas.openxmlformats.org/officeDocument/2006/relationships/hyperlink" Target="https://youtu.be/9-Hf-UTn53s" TargetMode="External"/><Relationship Id="rId15" Type="http://schemas.openxmlformats.org/officeDocument/2006/relationships/hyperlink" Target="https://fb.me/e/XAsFFYE2" TargetMode="External"/><Relationship Id="rId10" Type="http://schemas.openxmlformats.org/officeDocument/2006/relationships/hyperlink" Target="https://youtu.be/rHp3QttgmY4." TargetMode="External"/><Relationship Id="rId19" Type="http://schemas.openxmlformats.org/officeDocument/2006/relationships/hyperlink" Target="https://fb.me/e/1JjXwAe8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ermRKZTx8qT3nDVu5" TargetMode="External"/><Relationship Id="rId14" Type="http://schemas.openxmlformats.org/officeDocument/2006/relationships/hyperlink" Target="https://fb.me/e/XAsFFYE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Žanete Apsīte</cp:lastModifiedBy>
  <cp:revision>2</cp:revision>
  <dcterms:created xsi:type="dcterms:W3CDTF">2021-10-10T07:14:00Z</dcterms:created>
  <dcterms:modified xsi:type="dcterms:W3CDTF">2021-10-10T07:19:00Z</dcterms:modified>
</cp:coreProperties>
</file>